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F0C0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120BA3B" wp14:editId="1F95308B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C7EF6" w14:textId="76968073" w:rsidR="005C7681" w:rsidRPr="005F4CAE" w:rsidRDefault="005C7681" w:rsidP="005C76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НАУКИ И ВЫСШЕГО ОБРАЗОВАНИЯ </w:t>
      </w:r>
      <w:r w:rsidR="005F4CAE"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РОССИЙСКОЙ ФЕДЕРАЦИИ</w:t>
      </w:r>
    </w:p>
    <w:p w14:paraId="03EF715F" w14:textId="77777777" w:rsidR="005C7681" w:rsidRPr="005F4CAE" w:rsidRDefault="005C7681" w:rsidP="005C76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D005D" w14:textId="77777777" w:rsidR="005C7681" w:rsidRPr="007E36C9" w:rsidRDefault="005C7681" w:rsidP="005C76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2063A1C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2941959A" w14:textId="77777777" w:rsidR="005C7681" w:rsidRPr="007E36C9" w:rsidRDefault="005C7681" w:rsidP="005C7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14EDAA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EE7FDB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5ABBA0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580C13E7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6466D9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CA7C2E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0AD963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427B4A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8094F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DE608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428F9E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06C505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рекомендации по выполнению контрольных работ</w:t>
      </w:r>
    </w:p>
    <w:p w14:paraId="35C0FE99" w14:textId="1996DE0C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«Научно-</w:t>
      </w:r>
      <w:r w:rsidR="00881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исследовательская 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 в спорте»</w:t>
      </w:r>
    </w:p>
    <w:p w14:paraId="47F40CC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студентами заочной формы обучения </w:t>
      </w:r>
    </w:p>
    <w:p w14:paraId="7899F212" w14:textId="6D6D7BB9" w:rsidR="005C7681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44E891F4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9340965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C5933AB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5200802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8DFE2E3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00FCDBF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954E377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8A72638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F7211F4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6278EC9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69DAA5B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BA28338" w14:textId="77777777" w:rsidR="0015555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proofErr w:type="spellStart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</w:t>
      </w:r>
      <w:proofErr w:type="spellEnd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-на-Дону</w:t>
      </w:r>
    </w:p>
    <w:p w14:paraId="499D5048" w14:textId="47809A0B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 xml:space="preserve"> 20</w:t>
      </w:r>
      <w:r w:rsidR="00947577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4D3A50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</w:p>
    <w:p w14:paraId="331DB139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524B419" w14:textId="77777777" w:rsidR="005C768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C1DD522" w14:textId="3740B001" w:rsidR="005C768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47ACEFAD" w14:textId="5073AD78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0D2A479" w14:textId="2BFC5B33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B437193" w14:textId="3568BC4D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E0CB865" w14:textId="77777777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F866014" w14:textId="77777777" w:rsidR="005C768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64E625F" w14:textId="318B7594" w:rsidR="00F34656" w:rsidRDefault="0080751E" w:rsidP="0080751E">
      <w:pPr>
        <w:pStyle w:val="20"/>
        <w:shd w:val="clear" w:color="auto" w:fill="auto"/>
        <w:spacing w:after="0" w:line="240" w:lineRule="auto"/>
        <w:contextualSpacing/>
        <w:rPr>
          <w:i/>
          <w:sz w:val="28"/>
        </w:rPr>
      </w:pPr>
      <w:r w:rsidRPr="007E36C9">
        <w:rPr>
          <w:rFonts w:eastAsia="Times New Roman"/>
          <w:sz w:val="28"/>
          <w:lang w:eastAsia="ar-SA"/>
        </w:rPr>
        <w:t xml:space="preserve">Методические рекомендации </w:t>
      </w:r>
      <w:r w:rsidRPr="0080751E">
        <w:rPr>
          <w:rFonts w:eastAsia="Times New Roman"/>
          <w:sz w:val="28"/>
          <w:lang w:eastAsia="ar-SA"/>
        </w:rPr>
        <w:t>к</w:t>
      </w:r>
      <w:r>
        <w:rPr>
          <w:rFonts w:eastAsia="Times New Roman"/>
          <w:sz w:val="28"/>
          <w:lang w:eastAsia="ar-SA"/>
        </w:rPr>
        <w:t xml:space="preserve"> </w:t>
      </w:r>
      <w:r>
        <w:rPr>
          <w:i/>
          <w:sz w:val="28"/>
        </w:rPr>
        <w:t>Контрольной работе</w:t>
      </w:r>
      <w:r w:rsidR="00BB0490">
        <w:rPr>
          <w:i/>
          <w:sz w:val="28"/>
        </w:rPr>
        <w:t xml:space="preserve"> </w:t>
      </w:r>
    </w:p>
    <w:p w14:paraId="1820C27C" w14:textId="77777777" w:rsidR="0080751E" w:rsidRDefault="0080751E" w:rsidP="0080751E">
      <w:pPr>
        <w:pStyle w:val="20"/>
        <w:shd w:val="clear" w:color="auto" w:fill="auto"/>
        <w:spacing w:after="0" w:line="240" w:lineRule="auto"/>
        <w:contextualSpacing/>
        <w:rPr>
          <w:i/>
          <w:sz w:val="28"/>
        </w:rPr>
      </w:pPr>
    </w:p>
    <w:p w14:paraId="3BD1DF12" w14:textId="77777777" w:rsidR="0080751E" w:rsidRPr="00947577" w:rsidRDefault="0080751E" w:rsidP="0080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033EB44C" w14:textId="35F6B921" w:rsidR="00947577" w:rsidRPr="00F42578" w:rsidRDefault="00947577" w:rsidP="00947577">
      <w:pPr>
        <w:numPr>
          <w:ilvl w:val="0"/>
          <w:numId w:val="5"/>
        </w:numPr>
        <w:tabs>
          <w:tab w:val="clear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отправляются на электронную почту преподавателю </w:t>
      </w:r>
      <w:bookmarkStart w:id="0" w:name="_Hlk49354436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 электронном обучении).</w:t>
      </w:r>
    </w:p>
    <w:bookmarkEnd w:id="0"/>
    <w:p w14:paraId="17977671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ысылаются только полностью выполненные контрольные работы с соблюдением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A794B0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3FFFE0EE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5664DEC1" w14:textId="511EE2D3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электронном (при электронном обучении).</w:t>
      </w:r>
    </w:p>
    <w:p w14:paraId="76C27936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перечеркиваний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, вставок, произвольного сокращения слов. Чертежи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таблицы и рисунки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обязательно с помощью чертежных принадлежностей или с использованием графических редакторов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других необходимых ресурсов (не копировать из интернета)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B10A6D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2BE9AA2D" w14:textId="64626A22" w:rsidR="00947577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9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2E8E788A" w14:textId="2B1008E7" w:rsid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передается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кафедру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лично. </w:t>
      </w:r>
      <w:bookmarkStart w:id="1" w:name="_Hlk4935469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электронном обучении отправляется на почту преподавателю. </w:t>
      </w:r>
      <w:bookmarkEnd w:id="1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1325558" w14:textId="38F62280" w:rsid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электронном обучении вопросы отправляются на почту преподавателю или другие коммуникативные средства.</w:t>
      </w:r>
    </w:p>
    <w:p w14:paraId="55966855" w14:textId="02284B8C" w:rsidR="004D3A50" w:rsidRP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 xml:space="preserve">Объем контрольной работы, должен составлять не менее 20 печатных страниц, шрифт Times New </w:t>
      </w:r>
      <w:proofErr w:type="spellStart"/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Roman</w:t>
      </w:r>
      <w:proofErr w:type="spellEnd"/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, размер 14, интервал 1,5. Выравнивание текста по ширине. Поля: верхнее, нижнее – 2,5; левое - 3,5; правое - 1,5.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 xml:space="preserve"> Выравнивание текста по ширине, отступ первой строки 1.25.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 </w:t>
      </w:r>
      <w:r w:rsidRPr="00881DD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>Каждый раздел и структурный элемент содержания печатается с новой страницы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5EE6DD99" w14:textId="28D5FEAB" w:rsidR="004D3A50" w:rsidRPr="00EF3FB2" w:rsidRDefault="00EF3FB2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Контрольную работу студент обязан выполнить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и отправить преподавателю 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до начала сессии.</w:t>
      </w:r>
      <w:r w:rsidRPr="004D3A5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937ABB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Вариант контрольной работы</w:t>
      </w:r>
      <w:r w:rsidRPr="00937AB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выбирается из приведенной ниже таблицы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3497B120" w14:textId="189711C8" w:rsidR="00EF3FB2" w:rsidRPr="00F42578" w:rsidRDefault="00EF3FB2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Структура </w:t>
      </w:r>
      <w:bookmarkStart w:id="2" w:name="_Hlk114166759"/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контрольной работы</w:t>
      </w:r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</w:t>
      </w:r>
    </w:p>
    <w:p w14:paraId="108D0B1F" w14:textId="354CCCFE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Титульный лист с 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 w:rsidRPr="00CB1D69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Номер и название темы. Год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Образец представлен на странице 6 в виде </w:t>
      </w:r>
      <w:r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Приложени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я</w:t>
      </w:r>
      <w:r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</w:t>
      </w:r>
      <w:r w:rsid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0DF061C8" w14:textId="6C910B2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64201860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</w:t>
      </w:r>
      <w:r w:rsidR="00EF3FB2" w:rsidRPr="00EF3FB2">
        <w:t xml:space="preserve"> </w:t>
      </w:r>
      <w:r w:rsidR="00EF3FB2" w:rsidRPr="00EF3FB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контрольной работы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9E3EE00" w14:textId="31173A9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14:paraId="182E669F" w14:textId="7F3F3642" w:rsidR="00947577" w:rsidRPr="00F42578" w:rsidRDefault="00EF3FB2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Основная часть. </w:t>
      </w:r>
      <w:r w:rsidR="00947577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Изложение содержания (Разделы</w:t>
      </w:r>
      <w:r w:rsidR="00947577"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1; 2; 3 и подразделы 1.1; 1.2; 2.1 и 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="00947577"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д.</w:t>
      </w:r>
      <w:r w:rsidR="00947577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47239576" w14:textId="632F99A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ЗАКЛЮЧЕНИЕ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</w:p>
    <w:p w14:paraId="3B29B672" w14:textId="451D7448" w:rsidR="00947577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="00063D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библиографии (стандарт 2011). 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Пример оформления списка литературы представлен ниже </w:t>
      </w:r>
      <w:bookmarkEnd w:id="3"/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в приложении </w:t>
      </w:r>
      <w:r w:rsidR="00881DDC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 на странице 7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.</w:t>
      </w:r>
    </w:p>
    <w:p w14:paraId="1B2F41E5" w14:textId="77777777" w:rsidR="00947577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</w:p>
    <w:p w14:paraId="6DA2BE66" w14:textId="77777777" w:rsidR="00947577" w:rsidRPr="00FA7868" w:rsidRDefault="00947577" w:rsidP="0094757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A7868">
        <w:rPr>
          <w:rFonts w:ascii="Times New Roman" w:hAnsi="Times New Roman"/>
          <w:color w:val="FF0000"/>
          <w:sz w:val="24"/>
          <w:szCs w:val="24"/>
          <w:highlight w:val="yellow"/>
        </w:rPr>
        <w:t>Желтым и красным цветом выделена информация, на которую надо обязательно обратить внимание.</w:t>
      </w:r>
      <w:r w:rsidRPr="00FA786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0505943" w14:textId="18C7ADB3" w:rsidR="00F34656" w:rsidRDefault="0080751E" w:rsidP="005F4CAE">
      <w:pPr>
        <w:shd w:val="clear" w:color="auto" w:fill="FFFFFF"/>
        <w:ind w:firstLine="113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1 </w:t>
      </w:r>
      <w:r w:rsidR="005F4CA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 xml:space="preserve">Варианты выбора тем </w:t>
      </w:r>
      <w:r w:rsidR="005F4CAE">
        <w:rPr>
          <w:rFonts w:ascii="Times New Roman" w:hAnsi="Times New Roman"/>
          <w:color w:val="000000"/>
          <w:sz w:val="28"/>
          <w:szCs w:val="28"/>
        </w:rPr>
        <w:t xml:space="preserve">для написания 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>контрольн</w:t>
      </w:r>
      <w:r w:rsidR="005F4CAE">
        <w:rPr>
          <w:rFonts w:ascii="Times New Roman" w:hAnsi="Times New Roman"/>
          <w:color w:val="000000"/>
          <w:sz w:val="28"/>
          <w:szCs w:val="28"/>
        </w:rPr>
        <w:t>ой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 w:rsidR="005F4CAE">
        <w:rPr>
          <w:rFonts w:ascii="Times New Roman" w:hAnsi="Times New Roman"/>
          <w:color w:val="000000"/>
          <w:sz w:val="28"/>
          <w:szCs w:val="28"/>
        </w:rPr>
        <w:t>ы</w:t>
      </w:r>
    </w:p>
    <w:tbl>
      <w:tblPr>
        <w:tblpPr w:leftFromText="180" w:rightFromText="180" w:bottomFromText="200" w:vertAnchor="text" w:horzAnchor="page" w:tblpX="1871" w:tblpY="186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833"/>
        <w:gridCol w:w="832"/>
        <w:gridCol w:w="833"/>
        <w:gridCol w:w="831"/>
        <w:gridCol w:w="832"/>
        <w:gridCol w:w="831"/>
        <w:gridCol w:w="831"/>
        <w:gridCol w:w="832"/>
        <w:gridCol w:w="831"/>
        <w:gridCol w:w="832"/>
      </w:tblGrid>
      <w:tr w:rsidR="00F34656" w14:paraId="7871706D" w14:textId="77777777" w:rsidTr="005F4CAE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4791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222F528E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8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D30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F34656" w14:paraId="4F45F229" w14:textId="77777777" w:rsidTr="005F4CAE"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061A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DAB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FB43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2B4F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33BD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C2C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6CDE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3DF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105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49AD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4AC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F34656" w14:paraId="2A8FD0F6" w14:textId="77777777" w:rsidTr="005F4CAE"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F360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739B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F34656" w14:paraId="296656FF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241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6A95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97C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188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33E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39F3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03FC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92D1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459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F6BC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7E71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4656" w14:paraId="6AD6458B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32F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7F7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6ECB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199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B5E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494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597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5CA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9F5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F3C5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AF9F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3A08D7BD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DD1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449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7BF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88C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1B6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017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94F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93E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073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EA6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6E8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1D6BCFA5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303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D36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8C6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406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B9A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AF2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A69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80C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C8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7F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F94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04D6E979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9EE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D2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3A1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B1A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7FA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D1E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9F9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D8B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FBC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376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B39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374204ED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883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AE3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BCE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FD1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B83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E8A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296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2D4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E73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D3B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1B6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34EE9765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CF0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B1E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E90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598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764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458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2DA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135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29F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1E2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887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79A2AA72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BB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1E5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E57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D5A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301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E1C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9AE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DF3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3E5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64E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DA1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4AA0CEAF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C34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9D1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65A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DA9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55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16D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E43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D41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2BB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A4E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61C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01434DBD" w14:textId="77777777" w:rsidTr="005F4CAE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DCA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AF2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C1B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5834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7F8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760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595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342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667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749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8A4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</w:tbl>
    <w:p w14:paraId="4AB6B329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8E03CA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7B1C7A0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C3401D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32DE936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455346F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BA6598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E1EED5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5315128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0AA4DF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0A08E1" w14:textId="40034213" w:rsidR="00902E60" w:rsidRPr="002B2E46" w:rsidRDefault="005C7681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B2E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контрольных</w:t>
      </w:r>
      <w:r w:rsidR="00F34656" w:rsidRPr="002B2E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работ</w:t>
      </w:r>
    </w:p>
    <w:p w14:paraId="46E987A4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>Тестирование в оценке физической подготовленности школьников России. Использование комплекса ГТО.</w:t>
      </w:r>
    </w:p>
    <w:p w14:paraId="080585CC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pacing w:val="3"/>
          <w:sz w:val="28"/>
          <w:szCs w:val="28"/>
        </w:rPr>
        <w:t xml:space="preserve">Графические формы систематизации и представления результатов научных </w:t>
      </w:r>
      <w:r w:rsidRPr="00BB0490">
        <w:rPr>
          <w:rFonts w:ascii="Times New Roman" w:hAnsi="Times New Roman" w:cs="Times New Roman"/>
          <w:sz w:val="28"/>
          <w:szCs w:val="28"/>
        </w:rPr>
        <w:t xml:space="preserve">исследований. </w:t>
      </w:r>
    </w:p>
    <w:p w14:paraId="56EA8B6B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Методика проведения хронометрирования</w:t>
      </w:r>
      <w:r w:rsidR="006F4F4D" w:rsidRPr="00BB0490">
        <w:rPr>
          <w:rFonts w:ascii="Times New Roman" w:hAnsi="Times New Roman" w:cs="Times New Roman"/>
          <w:spacing w:val="2"/>
          <w:sz w:val="28"/>
          <w:szCs w:val="28"/>
        </w:rPr>
        <w:t xml:space="preserve"> и </w:t>
      </w:r>
      <w:proofErr w:type="spellStart"/>
      <w:r w:rsidR="006F4F4D" w:rsidRPr="00BB0490">
        <w:rPr>
          <w:rFonts w:ascii="Times New Roman" w:hAnsi="Times New Roman" w:cs="Times New Roman"/>
          <w:spacing w:val="2"/>
          <w:sz w:val="28"/>
          <w:szCs w:val="28"/>
        </w:rPr>
        <w:t>пульсометрии</w:t>
      </w:r>
      <w:proofErr w:type="spellEnd"/>
      <w:r w:rsidRPr="00BB0490">
        <w:rPr>
          <w:rFonts w:ascii="Times New Roman" w:hAnsi="Times New Roman" w:cs="Times New Roman"/>
          <w:spacing w:val="2"/>
          <w:sz w:val="28"/>
          <w:szCs w:val="28"/>
        </w:rPr>
        <w:t xml:space="preserve"> на занятиях физической </w:t>
      </w:r>
      <w:r w:rsidRPr="00BB0490">
        <w:rPr>
          <w:rFonts w:ascii="Times New Roman" w:hAnsi="Times New Roman" w:cs="Times New Roman"/>
          <w:sz w:val="28"/>
          <w:szCs w:val="28"/>
        </w:rPr>
        <w:t>культурой и спортом.</w:t>
      </w:r>
    </w:p>
    <w:p w14:paraId="7EF37D6E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7"/>
          <w:sz w:val="28"/>
          <w:szCs w:val="28"/>
        </w:rPr>
        <w:t xml:space="preserve">Хронометрирование различных видов занятий по физической культуре и 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спорту, определение общей и моторной (двигательной) плотности.</w:t>
      </w:r>
    </w:p>
    <w:p w14:paraId="5E1FE4F0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Педагогический эксперимент – организация, проведение и к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лассификация педагогических</w:t>
      </w:r>
      <w:r w:rsidR="005145DD"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экспериментов.</w:t>
      </w:r>
    </w:p>
    <w:p w14:paraId="089EAE52" w14:textId="77777777" w:rsidR="005145DD" w:rsidRPr="00BB0490" w:rsidRDefault="005145D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6"/>
          <w:sz w:val="28"/>
          <w:szCs w:val="28"/>
        </w:rPr>
        <w:t xml:space="preserve">Тестирование моторных способностей человека: функции тестирования и </w:t>
      </w:r>
      <w:r w:rsidRPr="00BB0490">
        <w:rPr>
          <w:rFonts w:ascii="Times New Roman" w:hAnsi="Times New Roman" w:cs="Times New Roman"/>
          <w:sz w:val="28"/>
          <w:szCs w:val="28"/>
        </w:rPr>
        <w:t>потребители тестовой информации; исследовательские возможности метода.</w:t>
      </w:r>
    </w:p>
    <w:p w14:paraId="4A923F2E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Использование тестирования в физической культуре и спорте: общая характеристика.</w:t>
      </w:r>
    </w:p>
    <w:p w14:paraId="678E94CF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10"/>
          <w:sz w:val="28"/>
          <w:szCs w:val="28"/>
        </w:rPr>
        <w:t xml:space="preserve">Опросные методы в изучении проблем физической культуры и спорта. 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Исследовательские возможности методов.</w:t>
      </w:r>
    </w:p>
    <w:p w14:paraId="63EFC5E1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-1"/>
          <w:sz w:val="28"/>
          <w:szCs w:val="28"/>
        </w:rPr>
        <w:t>Педагогический эксперимент: общая характеристика</w:t>
      </w:r>
      <w:r w:rsidRPr="00BB0490">
        <w:rPr>
          <w:rFonts w:ascii="Times New Roman" w:hAnsi="Times New Roman" w:cs="Times New Roman"/>
          <w:sz w:val="28"/>
          <w:szCs w:val="28"/>
        </w:rPr>
        <w:t xml:space="preserve"> </w:t>
      </w:r>
      <w:r w:rsidRPr="00BB0490">
        <w:rPr>
          <w:rFonts w:ascii="Times New Roman" w:hAnsi="Times New Roman" w:cs="Times New Roman"/>
          <w:spacing w:val="-1"/>
          <w:sz w:val="28"/>
          <w:szCs w:val="28"/>
        </w:rPr>
        <w:t xml:space="preserve">и виды, </w:t>
      </w:r>
      <w:r w:rsidRPr="00BB0490">
        <w:rPr>
          <w:rFonts w:ascii="Times New Roman" w:hAnsi="Times New Roman" w:cs="Times New Roman"/>
          <w:sz w:val="28"/>
          <w:szCs w:val="28"/>
        </w:rPr>
        <w:t xml:space="preserve">исследовательские возможности эксперимента в сфере физической культуры </w:t>
      </w:r>
      <w:r w:rsidRPr="00BB0490">
        <w:rPr>
          <w:rFonts w:ascii="Times New Roman" w:hAnsi="Times New Roman" w:cs="Times New Roman"/>
          <w:spacing w:val="-1"/>
          <w:sz w:val="28"/>
          <w:szCs w:val="28"/>
        </w:rPr>
        <w:t>и спорта.</w:t>
      </w:r>
    </w:p>
    <w:p w14:paraId="00872C2C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3"/>
          <w:sz w:val="28"/>
          <w:szCs w:val="28"/>
        </w:rPr>
        <w:t xml:space="preserve">Критерии передового и новаторского опыта, их характеристика и методика </w:t>
      </w:r>
      <w:r w:rsidRPr="00BB0490">
        <w:rPr>
          <w:rFonts w:ascii="Times New Roman" w:hAnsi="Times New Roman" w:cs="Times New Roman"/>
          <w:sz w:val="28"/>
          <w:szCs w:val="28"/>
        </w:rPr>
        <w:t>использования.</w:t>
      </w:r>
    </w:p>
    <w:p w14:paraId="5CB648E2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tabs>
          <w:tab w:val="left" w:pos="-180"/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Российская спортивная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наука и ее роль в развитии </w:t>
      </w:r>
      <w:r w:rsidRPr="00BB0490">
        <w:rPr>
          <w:rFonts w:ascii="Times New Roman" w:hAnsi="Times New Roman" w:cs="Times New Roman"/>
          <w:sz w:val="28"/>
          <w:szCs w:val="28"/>
        </w:rPr>
        <w:t>современного олимпийского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движения. </w:t>
      </w:r>
    </w:p>
    <w:p w14:paraId="5816E915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tabs>
          <w:tab w:val="left" w:pos="-18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Европейская спортивная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наука в начале нового века. </w:t>
      </w:r>
    </w:p>
    <w:p w14:paraId="01F8ADEA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lastRenderedPageBreak/>
        <w:t xml:space="preserve">Российские научные </w:t>
      </w:r>
      <w:r w:rsidR="00BB0490" w:rsidRPr="00BB0490">
        <w:rPr>
          <w:rFonts w:ascii="Times New Roman" w:hAnsi="Times New Roman" w:cs="Times New Roman"/>
          <w:sz w:val="28"/>
          <w:szCs w:val="28"/>
        </w:rPr>
        <w:t>достижения в</w:t>
      </w:r>
      <w:r w:rsidRPr="00BB0490">
        <w:rPr>
          <w:rFonts w:ascii="Times New Roman" w:hAnsi="Times New Roman" w:cs="Times New Roman"/>
          <w:sz w:val="28"/>
          <w:szCs w:val="28"/>
        </w:rPr>
        <w:t xml:space="preserve"> области спорта.</w:t>
      </w:r>
    </w:p>
    <w:p w14:paraId="3C3490F9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 xml:space="preserve">Современные достижения в зарубежной </w:t>
      </w:r>
      <w:r w:rsidR="00BB0490" w:rsidRPr="00BB0490">
        <w:rPr>
          <w:rFonts w:ascii="Times New Roman" w:hAnsi="Times New Roman" w:cs="Times New Roman"/>
          <w:sz w:val="28"/>
          <w:szCs w:val="28"/>
        </w:rPr>
        <w:t>спортивной науке</w:t>
      </w:r>
      <w:r w:rsidRPr="00BB04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AA6551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видов научных и методических работ.</w:t>
      </w:r>
    </w:p>
    <w:p w14:paraId="6EFDC27E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Внедрение в практику результатов научно-исследовательской и методической деятельности.</w:t>
      </w:r>
    </w:p>
    <w:p w14:paraId="181B5576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Роль научно- методического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сопровождения в подготовке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высококвалифицированных спортсменов, членов сборных команд России к</w:t>
      </w:r>
      <w:r w:rsidRPr="00BB049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соревнованиям мирового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ранга.</w:t>
      </w:r>
    </w:p>
    <w:p w14:paraId="6BAA42BE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Современные направления научных исследований в сфере физической культуре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и спорте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в ведущих спортивных державах (США, Китай, Германия, Великобритания, Франция, Япония, Белоруссия и др.).</w:t>
      </w:r>
    </w:p>
    <w:p w14:paraId="7DCF59AC" w14:textId="31185475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Роль и </w:t>
      </w:r>
      <w:r w:rsidR="006F4F4D"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значение </w:t>
      </w:r>
      <w:r w:rsidR="00881DDC" w:rsidRPr="00BB0490">
        <w:rPr>
          <w:rFonts w:ascii="Times New Roman" w:hAnsi="Times New Roman" w:cs="Times New Roman"/>
          <w:spacing w:val="1"/>
          <w:sz w:val="28"/>
          <w:szCs w:val="28"/>
        </w:rPr>
        <w:t>научно-исследовательских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институтов в создании «научных школ» и направлений в отрасли физической культуры </w:t>
      </w:r>
      <w:r w:rsidR="006F4F4D" w:rsidRPr="00BB0490">
        <w:rPr>
          <w:rFonts w:ascii="Times New Roman" w:hAnsi="Times New Roman" w:cs="Times New Roman"/>
          <w:spacing w:val="1"/>
          <w:sz w:val="28"/>
          <w:szCs w:val="28"/>
        </w:rPr>
        <w:t>и спорта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14:paraId="16B015FF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Характеристика основных видов научных и методических работ.</w:t>
      </w:r>
    </w:p>
    <w:p w14:paraId="7C488A82" w14:textId="77777777" w:rsidR="00E44DD0" w:rsidRPr="00BB0490" w:rsidRDefault="00E44DD0" w:rsidP="00063D57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05F6AA3F" w14:textId="77777777" w:rsidR="00314F7D" w:rsidRPr="00BB0490" w:rsidRDefault="00314F7D" w:rsidP="00063D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AFE8E" w14:textId="77777777" w:rsidR="00E42E7C" w:rsidRDefault="00E42E7C" w:rsidP="00E42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7C9481B9" w14:textId="77777777" w:rsidR="00E42E7C" w:rsidRPr="004152D7" w:rsidRDefault="00E42E7C" w:rsidP="00E42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7336"/>
      </w:tblGrid>
      <w:tr w:rsidR="00E42E7C" w:rsidRPr="004152D7" w14:paraId="72E9138D" w14:textId="77777777" w:rsidTr="00567B41">
        <w:tc>
          <w:tcPr>
            <w:tcW w:w="2235" w:type="dxa"/>
            <w:shd w:val="clear" w:color="auto" w:fill="auto"/>
          </w:tcPr>
          <w:p w14:paraId="68418506" w14:textId="77777777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336" w:type="dxa"/>
            <w:shd w:val="clear" w:color="auto" w:fill="auto"/>
          </w:tcPr>
          <w:p w14:paraId="349929E5" w14:textId="77777777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42E7C" w:rsidRPr="004152D7" w14:paraId="2616A463" w14:textId="77777777" w:rsidTr="00567B41">
        <w:tc>
          <w:tcPr>
            <w:tcW w:w="2235" w:type="dxa"/>
            <w:shd w:val="clear" w:color="auto" w:fill="auto"/>
          </w:tcPr>
          <w:p w14:paraId="23D977D2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«отлично»</w:t>
            </w:r>
          </w:p>
          <w:p w14:paraId="729FEE7F" w14:textId="51708E09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91-100 </w:t>
            </w:r>
          </w:p>
        </w:tc>
        <w:tc>
          <w:tcPr>
            <w:tcW w:w="7336" w:type="dxa"/>
            <w:shd w:val="clear" w:color="auto" w:fill="auto"/>
          </w:tcPr>
          <w:p w14:paraId="7C8D7C16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5ADE653B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20DE7169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10B18EFB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развернутые, самостоятельные выводы по работе.</w:t>
            </w:r>
          </w:p>
          <w:p w14:paraId="06C6F1C1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19351FE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5E31C60F" w14:textId="77777777" w:rsidTr="00567B41">
        <w:tc>
          <w:tcPr>
            <w:tcW w:w="2235" w:type="dxa"/>
            <w:shd w:val="clear" w:color="auto" w:fill="auto"/>
          </w:tcPr>
          <w:p w14:paraId="0609D3F8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«хорошо»</w:t>
            </w:r>
          </w:p>
          <w:p w14:paraId="4DAD22E9" w14:textId="485DDEB2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76-90</w:t>
            </w:r>
          </w:p>
        </w:tc>
        <w:tc>
          <w:tcPr>
            <w:tcW w:w="7336" w:type="dxa"/>
            <w:shd w:val="clear" w:color="auto" w:fill="auto"/>
          </w:tcPr>
          <w:p w14:paraId="06212049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3FE0499D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 определены цель и задачи.</w:t>
            </w:r>
          </w:p>
          <w:p w14:paraId="1A74F59D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13FF38E4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413646CA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5A46838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45286875" w14:textId="77777777" w:rsidTr="00567B41">
        <w:tc>
          <w:tcPr>
            <w:tcW w:w="2235" w:type="dxa"/>
            <w:shd w:val="clear" w:color="auto" w:fill="auto"/>
          </w:tcPr>
          <w:p w14:paraId="18E4AC6C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«удовлетворительно»</w:t>
            </w:r>
          </w:p>
          <w:p w14:paraId="368827BC" w14:textId="3B144AFF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61-75</w:t>
            </w:r>
          </w:p>
        </w:tc>
        <w:tc>
          <w:tcPr>
            <w:tcW w:w="7336" w:type="dxa"/>
            <w:shd w:val="clear" w:color="auto" w:fill="auto"/>
          </w:tcPr>
          <w:p w14:paraId="20691B8F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7B5302A1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Актуальность темы раскрыта правильно, но список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литературы ограничен.</w:t>
            </w:r>
          </w:p>
          <w:p w14:paraId="3A98D7D8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149D4EF7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71EB16DF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62D94B3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5F842234" w14:textId="77777777" w:rsidTr="00567B41">
        <w:tc>
          <w:tcPr>
            <w:tcW w:w="2235" w:type="dxa"/>
            <w:shd w:val="clear" w:color="auto" w:fill="auto"/>
          </w:tcPr>
          <w:p w14:paraId="2587B964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«неудовлетворительно»</w:t>
            </w:r>
          </w:p>
          <w:p w14:paraId="3A3C2FAA" w14:textId="08D4336D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61 и ниже </w:t>
            </w:r>
          </w:p>
        </w:tc>
        <w:tc>
          <w:tcPr>
            <w:tcW w:w="7336" w:type="dxa"/>
            <w:shd w:val="clear" w:color="auto" w:fill="auto"/>
          </w:tcPr>
          <w:p w14:paraId="31FD5A76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6B210DB7" w14:textId="77777777" w:rsidR="00E42E7C" w:rsidRPr="00012305" w:rsidRDefault="00E42E7C" w:rsidP="00E42E7C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6E1803BD" w14:textId="77777777" w:rsidR="00E42E7C" w:rsidRPr="00BB0490" w:rsidRDefault="00E42E7C" w:rsidP="00E42E7C">
      <w:pPr>
        <w:shd w:val="clear" w:color="auto" w:fill="FFFFFF"/>
        <w:autoSpaceDE w:val="0"/>
        <w:autoSpaceDN w:val="0"/>
        <w:adjustRightInd w:val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14:paraId="2A5456FB" w14:textId="77777777" w:rsidR="00E42E7C" w:rsidRPr="00BB0490" w:rsidRDefault="00E42E7C" w:rsidP="00E42E7C">
      <w:pPr>
        <w:rPr>
          <w:rFonts w:ascii="Times New Roman" w:hAnsi="Times New Roman" w:cs="Times New Roman"/>
          <w:sz w:val="28"/>
          <w:szCs w:val="28"/>
        </w:rPr>
      </w:pPr>
    </w:p>
    <w:p w14:paraId="62EDE0AB" w14:textId="77777777" w:rsidR="00902E60" w:rsidRDefault="00902E60" w:rsidP="00063D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D0D949" w14:textId="77777777" w:rsidR="00344997" w:rsidRDefault="00344997" w:rsidP="00063D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2CA535" w14:textId="77777777" w:rsidR="00344997" w:rsidRDefault="00344997" w:rsidP="00902E60">
      <w:pPr>
        <w:shd w:val="clear" w:color="auto" w:fill="FFFFFF"/>
        <w:autoSpaceDE w:val="0"/>
        <w:autoSpaceDN w:val="0"/>
        <w:adjustRightInd w:val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14:paraId="49FB064E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41DC10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D76D34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2BB3D2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1677F4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F5F040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74BEF6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0A5C4B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3A29CD" w14:textId="72C07C45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D6C6238" w14:textId="3F5F6460" w:rsidR="00063D57" w:rsidRDefault="00063D57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99A8121" w14:textId="4758A90D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5A3E4D" w14:textId="3414DD00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6F185A" w14:textId="0405F5E3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3B6B9FD" w14:textId="440A056A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F7E7991" w14:textId="420A8325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A0A836" w14:textId="4B4669F1" w:rsidR="00344997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="00881DDC"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РИЛОЖЕНИЕ</w:t>
      </w:r>
      <w:r w:rsidR="00344997"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81D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26E893FA" w14:textId="271032EE" w:rsidR="000C550D" w:rsidRPr="007E36C9" w:rsidRDefault="000C550D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Образец титульного листа</w:t>
      </w:r>
    </w:p>
    <w:p w14:paraId="4B67C0A6" w14:textId="77777777" w:rsidR="00881DDC" w:rsidRDefault="00881DDC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01CA5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03BCC7A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44D764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78080339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6670912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077C565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4809EA2D" w14:textId="23BBD76C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«_______________________________________________________»</w:t>
      </w:r>
    </w:p>
    <w:p w14:paraId="3F69A99F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550D">
        <w:rPr>
          <w:rFonts w:ascii="Times New Roman" w:eastAsia="Calibri" w:hAnsi="Times New Roman" w:cs="Times New Roman"/>
          <w:sz w:val="18"/>
          <w:szCs w:val="18"/>
        </w:rPr>
        <w:t>наименование факультета</w:t>
      </w:r>
    </w:p>
    <w:p w14:paraId="539D1A78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Кафедра «_________________________________________________________»</w:t>
      </w:r>
    </w:p>
    <w:p w14:paraId="4D0D420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550D">
        <w:rPr>
          <w:rFonts w:ascii="Times New Roman" w:eastAsia="Calibri" w:hAnsi="Times New Roman" w:cs="Times New Roman"/>
          <w:sz w:val="18"/>
          <w:szCs w:val="18"/>
        </w:rPr>
        <w:t>наименование кафедры</w:t>
      </w:r>
    </w:p>
    <w:p w14:paraId="10AB485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601CDE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44CA2B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00CB6C1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2CBC98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КОНТРОЛЬНАЯ РАБОТА</w:t>
      </w:r>
    </w:p>
    <w:p w14:paraId="6EFE26F6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729A80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420B7CB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6379BA4" w14:textId="31974BE0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Дисциплина (модуль) ________________________________________________________________</w:t>
      </w:r>
    </w:p>
    <w:p w14:paraId="4E5AEBEC" w14:textId="4C0B32DA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</w:t>
      </w:r>
      <w:r w:rsidRPr="000C550D">
        <w:rPr>
          <w:rFonts w:ascii="Times New Roman" w:eastAsia="Calibri" w:hAnsi="Times New Roman" w:cs="Times New Roman"/>
          <w:sz w:val="17"/>
          <w:szCs w:val="17"/>
        </w:rPr>
        <w:t>наименование учебной дисциплины (модуля)</w:t>
      </w:r>
    </w:p>
    <w:p w14:paraId="111994A1" w14:textId="46792BEF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>____________________________________________________________________________________________________________</w:t>
      </w:r>
    </w:p>
    <w:p w14:paraId="1D679A70" w14:textId="7B20BE02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C550D">
        <w:rPr>
          <w:rFonts w:ascii="Times New Roman" w:eastAsia="Calibri" w:hAnsi="Times New Roman" w:cs="Times New Roman"/>
          <w:sz w:val="24"/>
          <w:szCs w:val="24"/>
        </w:rPr>
        <w:t xml:space="preserve"> ___________ _______________________________</w:t>
      </w:r>
    </w:p>
    <w:p w14:paraId="2A9C8C23" w14:textId="3226407F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код наименование </w:t>
      </w:r>
    </w:p>
    <w:p w14:paraId="52B8DF3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14:paraId="1957821E" w14:textId="0A51D20B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Направленнос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0C550D">
        <w:rPr>
          <w:rFonts w:ascii="Times New Roman" w:eastAsia="Calibri" w:hAnsi="Times New Roman" w:cs="Times New Roman"/>
          <w:sz w:val="24"/>
          <w:szCs w:val="24"/>
        </w:rPr>
        <w:t>(профиль) _____________________________________________________________</w:t>
      </w:r>
    </w:p>
    <w:p w14:paraId="4D27838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50D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7FEDA895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Номер зачетной книжки ______________ Номер варианта _________ Группа ___________</w:t>
      </w:r>
    </w:p>
    <w:p w14:paraId="4C974B9D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20449B" w14:textId="4A662B48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(или вопросы) </w:t>
      </w:r>
    </w:p>
    <w:p w14:paraId="73F4890F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E9D1F8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695476" w14:textId="073AEEDA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Обучающийся _______________________ _____________________________</w:t>
      </w:r>
    </w:p>
    <w:p w14:paraId="72DA284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подпись, дата                                                       И.О. Фамилия</w:t>
      </w:r>
    </w:p>
    <w:p w14:paraId="60051093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481DD6" w14:textId="24F4D7BC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Контрольную работу проверил _____________________ ____________________________</w:t>
      </w:r>
    </w:p>
    <w:p w14:paraId="07AD5FE8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2144ED7F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57ED09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86502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BA2B20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B9412F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550D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0C550D">
        <w:rPr>
          <w:rFonts w:ascii="Times New Roman" w:eastAsia="Calibri" w:hAnsi="Times New Roman" w:cs="Times New Roman"/>
          <w:sz w:val="24"/>
          <w:szCs w:val="24"/>
        </w:rPr>
        <w:t>-на-Дону</w:t>
      </w:r>
    </w:p>
    <w:p w14:paraId="5AA7E9D7" w14:textId="77777777" w:rsidR="000C550D" w:rsidRPr="000C550D" w:rsidRDefault="000C550D" w:rsidP="000C5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20__</w:t>
      </w:r>
    </w:p>
    <w:p w14:paraId="1D6797DB" w14:textId="77777777" w:rsidR="000C550D" w:rsidRDefault="000C550D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DDFD29" w14:textId="77777777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08C6C4" w14:textId="77777777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46B6D0B" w14:textId="7245E901" w:rsidR="00881DDC" w:rsidRPr="007E36C9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</w:p>
    <w:p w14:paraId="1FFA67C3" w14:textId="77777777" w:rsidR="00881DDC" w:rsidRDefault="00881DDC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620B96" w14:textId="05C63560" w:rsidR="00344997" w:rsidRPr="00C92305" w:rsidRDefault="00344997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2305">
        <w:rPr>
          <w:rFonts w:ascii="Times New Roman" w:eastAsia="Times New Roman" w:hAnsi="Times New Roman" w:cs="Times New Roman"/>
          <w:b/>
          <w:sz w:val="28"/>
          <w:szCs w:val="28"/>
        </w:rPr>
        <w:t>Примеры оформления библиографических материалов</w:t>
      </w:r>
    </w:p>
    <w:p w14:paraId="2C636FE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C7E44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788D53F4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1. Конституция Российской Федерации: офиц. Текст. – М. : Маркетинг, 2001. – 39 с.</w:t>
      </w:r>
    </w:p>
    <w:p w14:paraId="60DAA1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2. О воинской обязанности и военной службе 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Закон : [принят Гос. Думой 6 марта 1998 г. 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Советом Федерации 12 марта 1998 г.]. – [4-е изд.]. – М. : Ось-89, 2001. – 46 с.</w:t>
      </w:r>
    </w:p>
    <w:p w14:paraId="3E78D17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3C09CDB4" w14:textId="4D9CEC3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Ст. 50</w:t>
      </w:r>
      <w:r w:rsidR="00C92305" w:rsidRPr="00881D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43.</w:t>
      </w:r>
    </w:p>
    <w:p w14:paraId="5F2540B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2002–01–01. – М. : Изд-во стандартов, 2001. – IV, 27 с. : ил. </w:t>
      </w:r>
    </w:p>
    <w:p w14:paraId="332F990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2004–07–01. – М. : Изд-во стандартов, 2004. – 134 с.</w:t>
      </w:r>
    </w:p>
    <w:p w14:paraId="440E430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2E918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7F91B90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14749C1D" w14:textId="0422A313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5895B22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8. Гайдаенко, Т. А. Маркетинговое управление : принципы управленческих решений и российская практика / Т. А. Гайдаенко. – 3-е изд.,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И доп. – М. : Эксмо : МИРБИС, 2008. – 508 с.</w:t>
      </w:r>
    </w:p>
    <w:p w14:paraId="01E0E6D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9. Игнатов, В. Г. Государственная служба субъектов РФ. Опыт сравнительно-правового анализа : науч.-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Пособие / В. Г. Игнатов.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н/Д : СКАГС, 2000. – 319 с.</w:t>
      </w:r>
    </w:p>
    <w:p w14:paraId="2C04FAC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</w:t>
      </w:r>
    </w:p>
    <w:p w14:paraId="5614BBD8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М. Ю. Герман. – СПб. : Азбука-классика, 2003. – 480 с. </w:t>
      </w:r>
    </w:p>
    <w:p w14:paraId="7477365E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11. Базаров, Т. Ю. Управление персоналом : учеб. Пособие /  Т. Ю. Базаров. – М. : Академия, 2003. – 218 с.</w:t>
      </w:r>
    </w:p>
    <w:p w14:paraId="1C6D996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33A1E10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12. Соколов, А. Н. Гражданское общество: проблемы формирования и развития (философский и юридический аспекты) : монография / А. Н. Соколов, К.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Сердобинцев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; под общ. Ред. В. М. Бочарова. – Калининград : Калининградский ЮИ МВД России, 2009. – 218 с.</w:t>
      </w:r>
    </w:p>
    <w:p w14:paraId="644190C5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13. Агафонова, Н. Н. Гражданское право: учеб. Пособие для вузов / </w:t>
      </w:r>
    </w:p>
    <w:p w14:paraId="425BB24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Н. Н. Агафонова, Т. В. Богачева, Л. И. Глушакова; под общ. Ред. А. Г.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Калпина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– изд. 2-е,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И доп. – М. 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, 2002. – 542 с.</w:t>
      </w:r>
    </w:p>
    <w:p w14:paraId="52D2358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14. Ершов, А. Д. Информационное управление в таможенной системе / </w:t>
      </w:r>
    </w:p>
    <w:p w14:paraId="655CC56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А. Д. Ершов, П.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Конопаева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– СПб. : Знание, 2002. – 232 с.</w:t>
      </w:r>
    </w:p>
    <w:p w14:paraId="330CD05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15. Корнелиус, Х. Выиграть может каждый: Как разрешать конфликты / </w:t>
      </w:r>
    </w:p>
    <w:p w14:paraId="0DA152A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Х. Корнелиус, З.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Фэйр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; пер. П. Е. Патрушева. – М. Стрингер, 1992. – 116 с. </w:t>
      </w:r>
    </w:p>
    <w:p w14:paraId="00EBA6B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16EA5405" w14:textId="0D6CDAB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М.: Приор, 1999. – 189 с.</w:t>
      </w:r>
    </w:p>
    <w:p w14:paraId="36A5FCB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М.: Гранд, 2003. – 525 с.</w:t>
      </w:r>
    </w:p>
    <w:p w14:paraId="18DBC09C" w14:textId="379830D9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 w:rsidRPr="00881DDC">
        <w:rPr>
          <w:rFonts w:ascii="Times New Roman" w:eastAsia="Times New Roman" w:hAnsi="Times New Roman" w:cs="Times New Roman"/>
          <w:sz w:val="24"/>
          <w:szCs w:val="24"/>
          <w:highlight w:val="yellow"/>
        </w:rPr>
        <w:t>История государства и права зарубежных стран: учебно-метод. Пособие / М. А. Гринько [и др.]; отв. Ред. Н. А. Крашенинникова. – М.: НОРМА, 2010. – 311 с.</w:t>
      </w:r>
    </w:p>
    <w:p w14:paraId="4178DDE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Книги без авторов:</w:t>
      </w:r>
    </w:p>
    <w:p w14:paraId="54E536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Ажаева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– М. : ИНИОН, 1991. – 147 с.</w:t>
      </w:r>
    </w:p>
    <w:p w14:paraId="786EF27E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20. Политология: учеб. Пособие / сост. А. Иванов. – СПб.: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Школа, 2003. – 250 с.</w:t>
      </w:r>
    </w:p>
    <w:p w14:paraId="5359CAB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21. Основы политологии: словарь / под ред. А. Г. Белова, П. А. Семина. – М. : Мысль, 2005. – 350 с.</w:t>
      </w:r>
    </w:p>
    <w:p w14:paraId="36C229D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19D307D2" w14:textId="02F9A979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21. Социальная философия: словарь / под. Общ. Ред. В. Е. Кемерова, Т. Х. Керимова. – М.: Академический проект, 2003. – 588 с.</w:t>
      </w:r>
    </w:p>
    <w:p w14:paraId="55ACA0C7" w14:textId="3EE740E1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Н. Ю. Шведова. – М.: Азбуковник, 2000. – 940 с.</w:t>
      </w:r>
    </w:p>
    <w:p w14:paraId="675F138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457D13E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6A72954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Социальноя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Межрегион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герман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Истории. – Воронеж, 2001. – С. 101–106.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.: с. 105-106.</w:t>
      </w:r>
    </w:p>
    <w:p w14:paraId="48D4F23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2C5D481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24. Серебрякова, М. И. Дионисий не отпускает: [о фресках Ферапонтова монастыря,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Вологод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Обл.]: беседа с директором музея Мариной Серебряковой / записал Юрий Медведев // Век. – 2002. – 14–20 июня (№ 18). – С. 9.</w:t>
      </w:r>
    </w:p>
    <w:p w14:paraId="58E10233" w14:textId="5D54381D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25. Боголюбов, А. Н. О вещественных резонансах в волноводе с неоднородным заполнением / А. Н. Боголюбов, А. Л.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Делицын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, М. Д. Малых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Вестн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Ун-та. Сер. 3, Физика. Астрономия. – 2001. – № 5. – С. 23</w:t>
      </w:r>
      <w:r w:rsidR="00C92305" w:rsidRPr="00881D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25. – Библиограф.: с. 25.</w:t>
      </w:r>
    </w:p>
    <w:p w14:paraId="4B1E32E5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Актуал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5: Прокурорский надзор за исполнением уголовного и уголовно-процессуального законодательства. Организация деятельности прокуратуры. – С. 46–49.</w:t>
      </w:r>
    </w:p>
    <w:p w14:paraId="6093694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СПб.: Наука, 1993. – С. 79–82.</w:t>
      </w:r>
    </w:p>
    <w:p w14:paraId="123A02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5684E6A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№ 182. – 14 июня.</w:t>
      </w:r>
    </w:p>
    <w:p w14:paraId="4390BB8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38–45.</w:t>
      </w:r>
    </w:p>
    <w:p w14:paraId="227617D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Роль права в обеспечении интересов Федерации // Журнал Российского права. – 2005. – № 12. – С. 141–146.</w:t>
      </w:r>
    </w:p>
    <w:p w14:paraId="277E1E2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1.4 Пример оформления списка электронных ресурсов</w:t>
      </w:r>
    </w:p>
    <w:p w14:paraId="2C577FB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33CC004D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34345BD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Дан. И прикладная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(546 Мб). – М.: Большая Рос.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Энцикл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[и др.], 1996. – 1 электрон. Опт. Диск (CD-ROM).</w:t>
      </w:r>
    </w:p>
    <w:p w14:paraId="57B541F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Лапусты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: Термика : Инфра-м, 2001. – 1 электрон. Опт. Диск (CD-ROM).</w:t>
      </w:r>
    </w:p>
    <w:p w14:paraId="5FAFA2C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5831688F" w14:textId="3EFE0AA0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33. Авилова Л.И. Развитие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металлопроизводства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в эпоху раннего металла (энеолит – поздний бронзовый век) : состояние проблемы и перспективы исследований // Вести. РФФИ. 1997. № 2. URL: http://www.rfbr.ru/pics/22394ref/file.pdf (дата обращения: 19.09.2013).</w:t>
      </w:r>
    </w:p>
    <w:p w14:paraId="5ED53D61" w14:textId="32EA8181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lastRenderedPageBreak/>
        <w:t>34. Справочники по полупроводниковым приборам // [Персональная страница В.Р. Козака] / Ин-т ядер. Физики. [Новосибирск, 2003]. URL: http://www.inp.nsk.su/%7Ekozak/start.htm (дата обращения: 13.03.2014).</w:t>
      </w:r>
    </w:p>
    <w:p w14:paraId="35A09DC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Паринов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С.И., Ляпунов В.М., Пузырев Р.Л. Система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Соционет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elbib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/journal/2003/part1/PLP/ (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: 25.11.2013).</w:t>
      </w:r>
    </w:p>
    <w:p w14:paraId="6DD10E6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мемор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Сайт] /сост. И ред. Т. Лиханова. [СПб., 2004]. URL: http://www.starovoitova.ru/rus/main.php (дата обращения: 22.01.2014).</w:t>
      </w:r>
    </w:p>
    <w:p w14:paraId="0822EAC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3E9587E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37. Розанов И.Н. Как создавалась библиотека Исторического музея: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докл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На заседании Ученого совета Гос.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Публ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Ист. Б-ки РСФСР 30 июня 1939 г. // ГАРФ. Ф. А-513. Оп. 1. Д. 12. Л. 14.</w:t>
      </w:r>
    </w:p>
    <w:p w14:paraId="098C21F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38. Полторацкий С.Д. Материалы к «Словарю русских псевдонимов»//ОР РГБ. Ф.223 (С. Д. Полторацкий). Картон 79. Ед. хр. 122; Картон 80. Ед. хр. 1-24; Картон 81. Ед. хр. 1 – 7.</w:t>
      </w:r>
    </w:p>
    <w:p w14:paraId="0B226ADB" w14:textId="6977027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39. Приемопередающее устройство: пат. 2187888 Рос. Федерация. № 2000131736/09;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заявл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18.12.00;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опубл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20.08.02,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Бюл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№ 23 (II ч.). 3 с.</w:t>
      </w:r>
    </w:p>
    <w:p w14:paraId="426A1845" w14:textId="77777777" w:rsidR="00344997" w:rsidRPr="00881DDC" w:rsidRDefault="00344997" w:rsidP="0088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31D831" w14:textId="77777777" w:rsidR="00344997" w:rsidRPr="007E36C9" w:rsidRDefault="00344997" w:rsidP="003449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sectPr w:rsidR="00344997" w:rsidRPr="007E36C9" w:rsidSect="005F4CA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710"/>
        </w:tabs>
        <w:ind w:left="37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4C24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710"/>
        </w:tabs>
        <w:ind w:left="37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7C153F"/>
    <w:multiLevelType w:val="singleLevel"/>
    <w:tmpl w:val="D4A2C97E"/>
    <w:lvl w:ilvl="0">
      <w:start w:val="1"/>
      <w:numFmt w:val="decimal"/>
      <w:lvlText w:val="%1."/>
      <w:legacy w:legacy="1" w:legacySpace="0" w:legacyIndent="355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42364B5"/>
    <w:multiLevelType w:val="hybridMultilevel"/>
    <w:tmpl w:val="76609ECA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9067325">
    <w:abstractNumId w:val="3"/>
  </w:num>
  <w:num w:numId="2" w16cid:durableId="1688754434">
    <w:abstractNumId w:val="2"/>
  </w:num>
  <w:num w:numId="3" w16cid:durableId="885679259">
    <w:abstractNumId w:val="3"/>
  </w:num>
  <w:num w:numId="4" w16cid:durableId="221597160">
    <w:abstractNumId w:val="0"/>
  </w:num>
  <w:num w:numId="5" w16cid:durableId="1765415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E60"/>
    <w:rsid w:val="00063D57"/>
    <w:rsid w:val="000655D6"/>
    <w:rsid w:val="000C550D"/>
    <w:rsid w:val="00101DFB"/>
    <w:rsid w:val="00155551"/>
    <w:rsid w:val="002839B5"/>
    <w:rsid w:val="002B2E46"/>
    <w:rsid w:val="00314F7D"/>
    <w:rsid w:val="003200D4"/>
    <w:rsid w:val="00344997"/>
    <w:rsid w:val="00410344"/>
    <w:rsid w:val="004D3A50"/>
    <w:rsid w:val="004D446B"/>
    <w:rsid w:val="005145DD"/>
    <w:rsid w:val="005C7681"/>
    <w:rsid w:val="005F4CAE"/>
    <w:rsid w:val="006921F3"/>
    <w:rsid w:val="006F4F4D"/>
    <w:rsid w:val="0080751E"/>
    <w:rsid w:val="00853AC6"/>
    <w:rsid w:val="00881DDC"/>
    <w:rsid w:val="00902E60"/>
    <w:rsid w:val="00947577"/>
    <w:rsid w:val="009F1405"/>
    <w:rsid w:val="00A360C2"/>
    <w:rsid w:val="00AC40D4"/>
    <w:rsid w:val="00AD2831"/>
    <w:rsid w:val="00B446D5"/>
    <w:rsid w:val="00BB0490"/>
    <w:rsid w:val="00BB58C3"/>
    <w:rsid w:val="00C92305"/>
    <w:rsid w:val="00E42E7C"/>
    <w:rsid w:val="00E44DD0"/>
    <w:rsid w:val="00E65317"/>
    <w:rsid w:val="00E740DE"/>
    <w:rsid w:val="00EF3FB2"/>
    <w:rsid w:val="00F34656"/>
    <w:rsid w:val="00F4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BBD3"/>
  <w15:docId w15:val="{293F2A34-02D3-40C1-AC5B-44909EAA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34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uiPriority w:val="99"/>
    <w:rsid w:val="00F346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F34656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34656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Cs w:val="28"/>
    </w:rPr>
  </w:style>
  <w:style w:type="paragraph" w:styleId="a5">
    <w:name w:val="List Paragraph"/>
    <w:basedOn w:val="a"/>
    <w:uiPriority w:val="34"/>
    <w:qFormat/>
    <w:rsid w:val="00314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2656</Words>
  <Characters>15143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Труфанов Станислав Алексеевич</cp:lastModifiedBy>
  <cp:revision>31</cp:revision>
  <dcterms:created xsi:type="dcterms:W3CDTF">2014-11-13T15:49:00Z</dcterms:created>
  <dcterms:modified xsi:type="dcterms:W3CDTF">2022-09-16T18:50:00Z</dcterms:modified>
</cp:coreProperties>
</file>